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08CF">
      <w:pPr>
        <w:spacing w:after="0" w:line="640" w:lineRule="exact"/>
        <w:rPr>
          <w:rFonts w:hint="eastAsia" w:ascii="黑体" w:hAnsi="黑体" w:eastAsia="黑体" w:cs="华文中宋"/>
          <w:b w:val="0"/>
          <w:bCs w:val="0"/>
          <w:w w:val="105"/>
          <w:kern w:val="0"/>
          <w:sz w:val="36"/>
          <w:szCs w:val="36"/>
          <w:lang w:val="zh-CN" w:bidi="zh-CN"/>
          <w14:ligatures w14:val="none"/>
        </w:rPr>
      </w:pPr>
      <w:r>
        <w:rPr>
          <w:rFonts w:hint="eastAsia" w:ascii="黑体" w:hAnsi="黑体" w:eastAsia="黑体" w:cs="华文中宋"/>
          <w:b w:val="0"/>
          <w:bCs w:val="0"/>
          <w:w w:val="105"/>
          <w:kern w:val="0"/>
          <w:sz w:val="36"/>
          <w:szCs w:val="36"/>
          <w:lang w:val="zh-CN" w:bidi="zh-CN"/>
          <w14:ligatures w14:val="none"/>
        </w:rPr>
        <w:t>附件1</w:t>
      </w:r>
    </w:p>
    <w:p w14:paraId="358BE071">
      <w:pPr>
        <w:spacing w:after="0" w:line="640" w:lineRule="exact"/>
        <w:jc w:val="center"/>
        <w:rPr>
          <w:rFonts w:hint="eastAsia" w:ascii="方正小标宋_GBK" w:hAnsi="方正小标宋_GBK" w:eastAsia="方正小标宋_GBK" w:cs="方正小标宋_GBK"/>
          <w:b w:val="0"/>
          <w:bCs w:val="0"/>
          <w:w w:val="105"/>
          <w:kern w:val="0"/>
          <w:sz w:val="36"/>
          <w:szCs w:val="36"/>
          <w:lang w:val="zh-CN" w:bidi="zh-CN"/>
          <w14:ligatures w14:val="none"/>
        </w:rPr>
      </w:pPr>
      <w:r>
        <w:rPr>
          <w:rFonts w:hint="eastAsia" w:ascii="方正小标宋_GBK" w:hAnsi="方正小标宋_GBK" w:eastAsia="方正小标宋_GBK" w:cs="方正小标宋_GBK"/>
          <w:b w:val="0"/>
          <w:bCs w:val="0"/>
          <w:w w:val="105"/>
          <w:kern w:val="0"/>
          <w:sz w:val="36"/>
          <w:szCs w:val="36"/>
          <w:lang w:val="zh-CN" w:bidi="zh-CN"/>
          <w14:ligatures w14:val="none"/>
        </w:rPr>
        <w:t>主题思政课</w:t>
      </w:r>
      <w:bookmarkStart w:id="0" w:name="_GoBack"/>
      <w:bookmarkEnd w:id="0"/>
      <w:r>
        <w:rPr>
          <w:rFonts w:hint="eastAsia" w:ascii="方正小标宋_GBK" w:hAnsi="方正小标宋_GBK" w:eastAsia="方正小标宋_GBK" w:cs="方正小标宋_GBK"/>
          <w:b w:val="0"/>
          <w:bCs w:val="0"/>
          <w:w w:val="105"/>
          <w:kern w:val="0"/>
          <w:sz w:val="36"/>
          <w:szCs w:val="36"/>
          <w:lang w:val="zh-CN" w:bidi="zh-CN"/>
          <w14:ligatures w14:val="none"/>
        </w:rPr>
        <w:t>、团课选题指南</w:t>
      </w:r>
    </w:p>
    <w:p w14:paraId="522E109D">
      <w:pPr>
        <w:rPr>
          <w:rFonts w:hint="eastAsia"/>
        </w:rPr>
      </w:pPr>
    </w:p>
    <w:p w14:paraId="4C402E67">
      <w:pPr>
        <w:spacing w:after="0" w:line="560" w:lineRule="exact"/>
        <w:ind w:firstLine="640" w:firstLineChars="200"/>
        <w:jc w:val="both"/>
        <w:rPr>
          <w:rFonts w:hint="eastAsia" w:ascii="黑体" w:hAnsi="黑体" w:eastAsia="黑体" w:cs="黑体"/>
          <w:sz w:val="32"/>
          <w:szCs w:val="32"/>
          <w14:ligatures w14:val="none"/>
        </w:rPr>
      </w:pPr>
      <w:r>
        <w:rPr>
          <w:rFonts w:hint="eastAsia" w:ascii="黑体" w:hAnsi="黑体" w:eastAsia="黑体" w:cs="黑体"/>
          <w:sz w:val="32"/>
          <w:szCs w:val="32"/>
          <w14:ligatures w14:val="none"/>
        </w:rPr>
        <w:t>一、课程形式</w:t>
      </w:r>
    </w:p>
    <w:p w14:paraId="5540F750">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可在以下两类课程形式中任选其一。</w:t>
      </w:r>
    </w:p>
    <w:p w14:paraId="385CA65C">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讲授研讨类课程。应用场景主要为课堂教学或小范围学习讨论，可采取主题式、案例式、辨析式、模拟式、研讨式、沉浸式、互动式等方式。</w:t>
      </w:r>
    </w:p>
    <w:p w14:paraId="5566D948">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实践研学类课程。应用场景主要为校内外各类实践教育场所，可结合参观研学、团日活动、志愿服务、社会实践、实习锻炼等开展。</w:t>
      </w:r>
    </w:p>
    <w:p w14:paraId="65AA9265">
      <w:pPr>
        <w:spacing w:after="0" w:line="560" w:lineRule="exact"/>
        <w:ind w:firstLine="640" w:firstLineChars="200"/>
        <w:jc w:val="both"/>
        <w:rPr>
          <w:rFonts w:hint="eastAsia" w:ascii="黑体" w:hAnsi="黑体" w:eastAsia="黑体" w:cs="黑体"/>
          <w:sz w:val="32"/>
          <w:szCs w:val="32"/>
          <w14:ligatures w14:val="none"/>
        </w:rPr>
      </w:pPr>
      <w:r>
        <w:rPr>
          <w:rFonts w:hint="eastAsia" w:ascii="黑体" w:hAnsi="黑体" w:eastAsia="黑体" w:cs="黑体"/>
          <w:sz w:val="32"/>
          <w:szCs w:val="32"/>
          <w14:ligatures w14:val="none"/>
        </w:rPr>
        <w:t>二、选题方向</w:t>
      </w:r>
    </w:p>
    <w:p w14:paraId="5BBF1477">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提供方向性题目，参赛选手可结合实际自拟具体思政课、团课题目，尽量选择小切口展开。注重围绕青年日常学习、工作、生活关切和思想困惑，立足学生视角、以小见大，避免大而化之、面面俱到。</w:t>
      </w:r>
    </w:p>
    <w:p w14:paraId="4C810906">
      <w:pPr>
        <w:spacing w:after="0" w:line="560" w:lineRule="exact"/>
        <w:ind w:firstLine="640" w:firstLineChars="200"/>
        <w:jc w:val="both"/>
        <w:rPr>
          <w:rFonts w:hint="eastAsia" w:ascii="楷体" w:hAnsi="楷体" w:eastAsia="楷体" w:cs="黑体"/>
          <w:sz w:val="32"/>
          <w:szCs w:val="32"/>
          <w14:ligatures w14:val="none"/>
        </w:rPr>
      </w:pPr>
      <w:r>
        <w:rPr>
          <w:rFonts w:hint="eastAsia" w:ascii="楷体" w:hAnsi="楷体" w:eastAsia="楷体" w:cs="黑体"/>
          <w:sz w:val="32"/>
          <w:szCs w:val="32"/>
          <w14:ligatures w14:val="none"/>
        </w:rPr>
        <w:t>（一）党的创新理论类</w:t>
      </w:r>
    </w:p>
    <w:p w14:paraId="0D440552">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重点：着眼深入浅出做好习近平新时代中国特色社会主义思想的宣传阐释，面向青年讲清楚道理、回应好关切，帮助青年学生加深对新时代党的创新理论的政治认同、思想认同、理论认同、情感认同。</w:t>
      </w:r>
    </w:p>
    <w:p w14:paraId="058CE1FA">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1．中国式现代化相关内容</w:t>
      </w:r>
    </w:p>
    <w:p w14:paraId="08C5D65E">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2．习近平经济思想相关内容</w:t>
      </w:r>
    </w:p>
    <w:p w14:paraId="28BD7D83">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3．习近平法治思想相关内容</w:t>
      </w:r>
    </w:p>
    <w:p w14:paraId="0884C842">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4．习近平生态文明思想相关内容</w:t>
      </w:r>
    </w:p>
    <w:p w14:paraId="69035242">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5．习近平强军思想相关内容</w:t>
      </w:r>
    </w:p>
    <w:p w14:paraId="3F77965A">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6．习近平外交思想相关内容</w:t>
      </w:r>
    </w:p>
    <w:p w14:paraId="69CFD582">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7．习近平文化思想相关内容</w:t>
      </w:r>
    </w:p>
    <w:p w14:paraId="653EBBC2">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8．习近平总书记关于青年工作的重要思想相关内容</w:t>
      </w:r>
    </w:p>
    <w:p w14:paraId="32B5F205">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9．习近平总书记关于其他领域工作的重要论述相关内容</w:t>
      </w:r>
    </w:p>
    <w:p w14:paraId="09127CEA">
      <w:pPr>
        <w:spacing w:after="0" w:line="560" w:lineRule="exact"/>
        <w:ind w:firstLine="640" w:firstLineChars="200"/>
        <w:jc w:val="both"/>
        <w:rPr>
          <w:rFonts w:hint="eastAsia" w:ascii="楷体" w:hAnsi="楷体" w:eastAsia="楷体" w:cs="黑体"/>
          <w:sz w:val="32"/>
          <w:szCs w:val="32"/>
          <w14:ligatures w14:val="none"/>
        </w:rPr>
      </w:pPr>
      <w:r>
        <w:rPr>
          <w:rFonts w:hint="eastAsia" w:ascii="楷体" w:hAnsi="楷体" w:eastAsia="楷体" w:cs="黑体"/>
          <w:sz w:val="32"/>
          <w:szCs w:val="32"/>
          <w14:ligatures w14:val="none"/>
        </w:rPr>
        <w:t>（二）青年建功类</w:t>
      </w:r>
    </w:p>
    <w:p w14:paraId="254EE158">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重点：着眼贯彻习近平总书记对新时代中国青年的希望要求和习近平总书记对江苏工作重要讲话精神，立足党和国家重大战略部署，结合青年学生专业特点、个人兴趣、职业规划，通过政策解读、榜样引领、参观寻访等，引领青年响应党的号召，在科技创新、乡村振兴、绿色发展、社会服务、卫国戍边等各领域各方面工作中挺膺担当。</w:t>
      </w:r>
    </w:p>
    <w:p w14:paraId="5E27B99E">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10．习近平总书记的青年寄语相关内容</w:t>
      </w:r>
    </w:p>
    <w:p w14:paraId="3508DBA2">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11．区域协调发展战略和区域重大战略等相关内容</w:t>
      </w:r>
    </w:p>
    <w:p w14:paraId="2FDEABA5">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主要围绕党的二十大确定的深入实施区域协调发展战略、区域重大战略、主体功能区战略、新型城镇化战略等展开。包括：京津冀协同发展、长江经济带发展、粤港澳大湾区建设、长三角一体化发展、黄河流域生态保护和高质量发展，中部地区崛起、东北全面振兴等。</w:t>
      </w:r>
    </w:p>
    <w:p w14:paraId="0C6BB1F6">
      <w:pPr>
        <w:spacing w:after="0" w:line="560" w:lineRule="exact"/>
        <w:ind w:firstLine="640" w:firstLineChars="200"/>
        <w:jc w:val="both"/>
        <w:rPr>
          <w:rFonts w:hint="eastAsia" w:ascii="楷体" w:hAnsi="楷体" w:eastAsia="楷体" w:cs="黑体"/>
          <w:sz w:val="32"/>
          <w:szCs w:val="32"/>
          <w14:ligatures w14:val="none"/>
        </w:rPr>
      </w:pPr>
      <w:r>
        <w:rPr>
          <w:rFonts w:hint="eastAsia" w:ascii="楷体" w:hAnsi="楷体" w:eastAsia="楷体" w:cs="黑体"/>
          <w:sz w:val="32"/>
          <w:szCs w:val="32"/>
          <w14:ligatures w14:val="none"/>
        </w:rPr>
        <w:t>（三）历史文化类</w:t>
      </w:r>
    </w:p>
    <w:p w14:paraId="1A96D5C1">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重点：着眼充分利用丰厚的历史文化资源，讲好中国的故事、党的故事、革命的故事、英雄的故事，用“活起来”的历史教育青年、启迪青年、感化青年、鼓舞青年，避免知识化，引导青年厚植爱党、爱国、爱社会主义的情感，激发不懈奋进的精神力量。</w:t>
      </w:r>
    </w:p>
    <w:p w14:paraId="2793071C">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12．党的精神谱系相关内容</w:t>
      </w:r>
    </w:p>
    <w:p w14:paraId="4E848747">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以第一批纳入中国共产党人精神谱系的46个伟大精神为主。包括：建党精神；井冈山精神、苏区精神、长征精神、遵义会议精神、延安精神、抗战精神、红岩精神、西柏坡精神、照金精神、东北抗联精神、南泥湾精神、太行精神（吕梁精神）、大别山精神、沂蒙精神、老区精神、张思德精神；抗美援朝精神、“两弹一星”精神、雷锋精神、焦裕禄精神、大庆精神（铁人精神）、红旗渠精神、北大荒精神、塞罕坝精神、“两路”精神、老西藏精神（孔繁森精神）、西迁精神、王杰精神；改革开放精神、特区精神、抗洪精神、抗击“非典”精神、抗震救灾精神、载人航天精神、劳模精神（劳动精神、工匠精神）、青藏铁路精神、女排精神；脱贫攻坚精神、抗疫精神、“三牛”精神、科学家精神、企业家精神、探月精神、新时代北斗精神、丝路精神。</w:t>
      </w:r>
    </w:p>
    <w:p w14:paraId="4D467AEB">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13．党史、新中国史、改革开放史、社会主义发展史、中华民族发展史相关内容</w:t>
      </w:r>
    </w:p>
    <w:p w14:paraId="23E67831">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14．社会主义核心价值观与中华优秀传统文化相关内容</w:t>
      </w:r>
    </w:p>
    <w:p w14:paraId="5B9DBC14">
      <w:pPr>
        <w:spacing w:after="0" w:line="560" w:lineRule="exact"/>
        <w:ind w:firstLine="640" w:firstLineChars="200"/>
        <w:jc w:val="both"/>
        <w:rPr>
          <w:rFonts w:hint="eastAsia" w:ascii="楷体" w:hAnsi="楷体" w:eastAsia="楷体" w:cs="黑体"/>
          <w:sz w:val="32"/>
          <w:szCs w:val="32"/>
          <w14:ligatures w14:val="none"/>
        </w:rPr>
      </w:pPr>
      <w:r>
        <w:rPr>
          <w:rFonts w:hint="eastAsia" w:ascii="楷体" w:hAnsi="楷体" w:eastAsia="楷体" w:cs="黑体"/>
          <w:sz w:val="32"/>
          <w:szCs w:val="32"/>
          <w14:ligatures w14:val="none"/>
        </w:rPr>
        <w:t>（四）团的知识类</w:t>
      </w:r>
    </w:p>
    <w:p w14:paraId="4D4521A8">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重点：着眼党、团、队育人链条相衔接、相贯通，讲好共青团的历史和基本知识，引导青年争做有理想、敢担当、能吃苦、肯奋斗的新时代好青年，引导团员做到“五个模范、五个带头”。</w:t>
      </w:r>
    </w:p>
    <w:p w14:paraId="7029146D">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15．党领导的中国青年运动史和共青团、少先队史相关内容</w:t>
      </w:r>
    </w:p>
    <w:p w14:paraId="7301971A">
      <w:pPr>
        <w:spacing w:after="0" w:line="560" w:lineRule="exact"/>
        <w:ind w:firstLine="640" w:firstLineChars="200"/>
        <w:jc w:val="both"/>
        <w:rPr>
          <w:rFonts w:hint="eastAsia"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16．共青团基本知识相关内容</w:t>
      </w:r>
    </w:p>
    <w:p w14:paraId="75AD0983">
      <w:pPr>
        <w:spacing w:after="0" w:line="560" w:lineRule="exact"/>
        <w:ind w:firstLine="640" w:firstLineChars="200"/>
        <w:jc w:val="both"/>
        <w:rPr>
          <w:rFonts w:ascii="Times New Roman" w:hAnsi="Times New Roman" w:eastAsia="仿宋" w:cs="Times New Roman"/>
          <w:sz w:val="32"/>
          <w:szCs w:val="32"/>
          <w14:ligatures w14:val="none"/>
        </w:rPr>
      </w:pPr>
      <w:r>
        <w:rPr>
          <w:rFonts w:hint="eastAsia" w:ascii="Times New Roman" w:hAnsi="Times New Roman" w:eastAsia="仿宋" w:cs="Times New Roman"/>
          <w:sz w:val="32"/>
          <w:szCs w:val="32"/>
          <w14:ligatures w14:val="none"/>
        </w:rPr>
        <w:t>17．共青团项目品牌相关内容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BC96E3-0212-4898-92A1-1966DBCA18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C53E75E-5FCA-4BEE-B310-DE6775C523DE}"/>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F4D7B18F-F8BF-43B4-BCC0-40700D9B75AA}"/>
  </w:font>
  <w:font w:name="楷体">
    <w:panose1 w:val="02010609060101010101"/>
    <w:charset w:val="86"/>
    <w:family w:val="modern"/>
    <w:pitch w:val="default"/>
    <w:sig w:usb0="800002BF" w:usb1="38CF7CFA" w:usb2="00000016" w:usb3="00000000" w:csb0="00040001" w:csb1="00000000"/>
    <w:embedRegular r:id="rId4" w:fontKey="{7C1826A5-89B6-43AF-8D9B-D0537F4E9090}"/>
  </w:font>
  <w:font w:name="方正小标宋_GBK">
    <w:panose1 w:val="02000000000000000000"/>
    <w:charset w:val="86"/>
    <w:family w:val="auto"/>
    <w:pitch w:val="default"/>
    <w:sig w:usb0="A00002BF" w:usb1="38CF7CFA" w:usb2="00082016" w:usb3="00000000" w:csb0="00040001" w:csb1="00000000"/>
    <w:embedRegular r:id="rId5" w:fontKey="{41268FD1-0072-421F-B6FD-BAD00A974E9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D4"/>
    <w:rsid w:val="00252125"/>
    <w:rsid w:val="00326064"/>
    <w:rsid w:val="007775D4"/>
    <w:rsid w:val="00AE5AC6"/>
    <w:rsid w:val="2103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1468</Words>
  <Characters>1477</Characters>
  <Lines>10</Lines>
  <Paragraphs>3</Paragraphs>
  <TotalTime>2</TotalTime>
  <ScaleCrop>false</ScaleCrop>
  <LinksUpToDate>false</LinksUpToDate>
  <CharactersWithSpaces>1477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2026-05-08T07:46:00Z</dcterms:created>
  <dc:creator>永炫 解</dc:creator>
  <cp:lastModifiedBy>yuanwei</cp:lastModifiedBy>
  <dcterms:modified xsi:type="dcterms:W3CDTF">2026-05-08T08:58:39Z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eyJoZGlkIjoiZjVjMjI3MGMyZjZiYWQwMjhjMjFhNjZjMmUwYjc3OWQiLCJ1c2VySWQiOiIyNTU0Mjg3ODIifQ==</vt:lpwstr>
  </property>
  <property fmtid="{D5CDD505-2E9C-101B-9397-08002B2CF9AE}" pid="3" name="KSOProductBuildVer">
    <vt:lpwstr>2052-12.1.0.25865</vt:lpwstr>
  </property>
  <property fmtid="{D5CDD505-2E9C-101B-9397-08002B2CF9AE}" pid="4" name="ICV">
    <vt:lpwstr>5AF9A1420DCC48BBA2AE0B7CB67ABFB8_12</vt:lpwstr>
  </property>
</Properties>
</file>